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i w:val="0"/>
          <w:color w:val="0A5BD8"/>
          <w:sz w:val="17"/>
        </w:rPr>
        <w:t>ООО «ВПС» · ПРОЕКТИРОВАНИЕ И СТРОИТЕЛЬСТВО ИНЖЕНЕРНЫХ СЕТЕЙ</w:t>
      </w:r>
    </w:p>
    <w:p>
      <w:pPr>
        <w:spacing w:after="160"/>
      </w:pPr>
      <w:r>
        <w:rPr>
          <w:b/>
          <w:i w:val="0"/>
          <w:color w:val="08294B"/>
          <w:sz w:val="36"/>
        </w:rPr>
        <w:t>Анкета на расчёт стоимости и сроков</w:t>
      </w:r>
    </w:p>
    <w:p>
      <w:pPr>
        <w:spacing w:after="80"/>
      </w:pPr>
      <w:r>
        <w:rPr>
          <w:b w:val="0"/>
          <w:i w:val="0"/>
          <w:sz w:val="20"/>
        </w:rPr>
        <w:t>Для заказчиков без тендерной процедуры. Заполните анкету, приложите карточку предприятия и отправьте на info@vps33.ru. Если на какой-то вопрос пока нет ответа, оставьте поле пустым — уточним при обсуждении.</w:t>
      </w:r>
    </w:p>
    <w:p>
      <w:pPr>
        <w:spacing w:after="80"/>
      </w:pPr>
      <w:r>
        <w:rPr>
          <w:b/>
          <w:i w:val="0"/>
          <w:sz w:val="20"/>
        </w:rPr>
        <w:t>Обязательно: карточка предприятия заказчика с реквизитами.</w:t>
      </w:r>
    </w:p>
    <w:p>
      <w:pPr>
        <w:spacing w:after="120"/>
      </w:pPr>
      <w:r>
        <w:rPr>
          <w:b w:val="0"/>
          <w:i/>
          <w:sz w:val="20"/>
        </w:rPr>
        <w:t>Сведения из анкеты используем только для подготовки расчёта и не передаём третьим лицам.</w:t>
      </w:r>
    </w:p>
    <w:p>
      <w:pPr>
        <w:spacing w:after="80" w:before="200"/>
      </w:pPr>
      <w:r>
        <w:rPr>
          <w:b/>
          <w:i w:val="0"/>
          <w:color w:val="08294B"/>
          <w:sz w:val="24"/>
        </w:rPr>
        <w:t>1. Заказчик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Полное наименование организации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ИНН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Контактное лицо, должность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Телефон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Электронная почта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Кто принимает решение по проекту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если не контактное лицо</w:t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2. Объект</w:t>
      </w:r>
    </w:p>
    <w:p>
      <w:pPr>
        <w:spacing w:after="80"/>
      </w:pPr>
      <w:r>
        <w:rPr>
          <w:b w:val="0"/>
          <w:i w:val="0"/>
          <w:sz w:val="20"/>
        </w:rPr>
        <w:t>Тип объекта: ☐ промышленная площадка  ☐ технопарк  ☐ жилой комплекс  ☐ коммерческий объект  ☐ населённый пункт  ☐ другое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Назначение и краткое описание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Регион, населённый пункт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Генеральный подрядчик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если есть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Особенности площадки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действующее предприятие, стеснённые условия, пересечения с дорогами и водными преградами, грунты</w:t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3. Какие сети нужны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2948"/>
          </w:tcPr>
          <w:p>
            <w:r/>
            <w:r>
              <w:rPr>
                <w:b/>
                <w:sz w:val="18"/>
              </w:rPr>
              <w:t>Вид сети</w:t>
            </w:r>
          </w:p>
        </w:tc>
        <w:tc>
          <w:tcPr>
            <w:tcW w:type="dxa" w:w="737"/>
          </w:tcPr>
          <w:p>
            <w:r/>
            <w:r>
              <w:rPr>
                <w:b/>
                <w:sz w:val="18"/>
              </w:rPr>
              <w:t>Нужно</w:t>
            </w:r>
          </w:p>
        </w:tc>
        <w:tc>
          <w:tcPr>
            <w:tcW w:type="dxa" w:w="1474"/>
          </w:tcPr>
          <w:p>
            <w:r/>
            <w:r>
              <w:rPr>
                <w:b/>
                <w:sz w:val="18"/>
              </w:rPr>
              <w:t>Длина, м</w:t>
            </w:r>
          </w:p>
        </w:tc>
        <w:tc>
          <w:tcPr>
            <w:tcW w:type="dxa" w:w="2041"/>
          </w:tcPr>
          <w:p>
            <w:r/>
            <w:r>
              <w:rPr>
                <w:b/>
                <w:sz w:val="18"/>
              </w:rPr>
              <w:t>Диаметр, мм / давление</w:t>
            </w:r>
          </w:p>
        </w:tc>
        <w:tc>
          <w:tcPr>
            <w:tcW w:type="dxa" w:w="2438"/>
          </w:tcPr>
          <w:p>
            <w:r/>
            <w:r>
              <w:rPr>
                <w:b/>
                <w:sz w:val="18"/>
              </w:rPr>
              <w:t>Материал, комментарий</w:t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Газоснабжение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Газоснабжение энергоцентра (ГПУ)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Водоснабжение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Водоотведение (бытовая канализация)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Ливневая канализация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Наружное пожаротушение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Электросети (кабельная канализация)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Топливопроводы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Теплоснабжение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2948"/>
          </w:tcPr>
          <w:p>
            <w:r/>
            <w:r>
              <w:rPr>
                <w:sz w:val="19"/>
              </w:rPr>
              <w:t>Другое</w:t>
            </w:r>
          </w:p>
        </w:tc>
        <w:tc>
          <w:tcPr>
            <w:tcW w:type="dxa" w:w="73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1474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041"/>
          </w:tcPr>
          <w:p>
            <w:r/>
            <w:r>
              <w:rPr>
                <w:sz w:val="19"/>
              </w:rPr>
            </w:r>
          </w:p>
        </w:tc>
        <w:tc>
          <w:tcPr>
            <w:tcW w:type="dxa" w:w="2438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/>
      </w:pPr>
      <w:r>
        <w:rPr>
          <w:b w:val="0"/>
          <w:i w:val="0"/>
          <w:sz w:val="20"/>
        </w:rPr>
        <w:t>Способ прокладки: ☐ открытый  ☐ горизонтально-направленное бурение (ГНБ)  ☐ по проекту</w:t>
      </w:r>
    </w:p>
    <w:p>
      <w:pPr>
        <w:spacing w:after="80"/>
      </w:pPr>
      <w:r>
        <w:rPr>
          <w:b w:val="0"/>
          <w:i w:val="0"/>
          <w:sz w:val="20"/>
        </w:rPr>
        <w:t>Исходные документы: ☐ технические условия  ☐ инженерные изыскания  ☐ проект (стадия П)  ☐ рабочая документация  ☐ ничего нет</w:t>
      </w:r>
    </w:p>
    <w:p>
      <w:pPr>
        <w:spacing w:after="80" w:before="200"/>
      </w:pPr>
      <w:r>
        <w:rPr>
          <w:b/>
          <w:i w:val="0"/>
          <w:color w:val="08294B"/>
          <w:sz w:val="24"/>
        </w:rPr>
        <w:t>4. Финансирование</w:t>
      </w:r>
    </w:p>
    <w:p>
      <w:pPr>
        <w:spacing w:after="80"/>
      </w:pPr>
      <w:r>
        <w:rPr>
          <w:b w:val="0"/>
          <w:i w:val="0"/>
          <w:sz w:val="20"/>
        </w:rPr>
        <w:t>Источник: ☐ собственные средства  ☐ кредит банка  ☐ инвестор  ☐ смешанное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Ориентировочный бюджет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можно диапазоном</w:t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Условия оплаты, аванс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5. Сроки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Желаемое начало работ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Требуемый срок завершения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3402"/>
          </w:tcPr>
          <w:p>
            <w:r/>
            <w:r>
              <w:rPr>
                <w:sz w:val="19"/>
              </w:rPr>
              <w:t>Жёсткие даты и ограничения</w:t>
            </w:r>
          </w:p>
        </w:tc>
        <w:tc>
          <w:tcPr>
            <w:tcW w:type="dxa" w:w="6236"/>
          </w:tcPr>
          <w:p>
            <w:r/>
            <w:r>
              <w:rPr>
                <w:i/>
                <w:color w:val="808B96"/>
                <w:sz w:val="19"/>
              </w:rPr>
              <w:t>например, срок подключения, сезонность работ</w:t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6. Что требуется от нас — по этапам</w:t>
      </w:r>
    </w:p>
    <w:p>
      <w:pPr>
        <w:spacing w:after="80"/>
      </w:pPr>
      <w:r>
        <w:rPr>
          <w:b w:val="0"/>
          <w:i w:val="0"/>
          <w:sz w:val="20"/>
        </w:rPr>
        <w:t>Отметьте этапы, которые хотите поручить нам.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3324"/>
        <w:gridCol w:w="3324"/>
        <w:gridCol w:w="3324"/>
      </w:tblGrid>
      <w:tr>
        <w:tc>
          <w:tcPr>
            <w:tcW w:type="dxa" w:w="4819"/>
          </w:tcPr>
          <w:p>
            <w:r/>
            <w:r>
              <w:rPr>
                <w:b/>
                <w:sz w:val="18"/>
              </w:rPr>
              <w:t>Этап</w:t>
            </w:r>
          </w:p>
        </w:tc>
        <w:tc>
          <w:tcPr>
            <w:tcW w:type="dxa" w:w="907"/>
          </w:tcPr>
          <w:p>
            <w:r/>
            <w:r>
              <w:rPr>
                <w:b/>
                <w:sz w:val="18"/>
              </w:rPr>
              <w:t>Нужно</w:t>
            </w:r>
          </w:p>
        </w:tc>
        <w:tc>
          <w:tcPr>
            <w:tcW w:type="dxa" w:w="3912"/>
          </w:tcPr>
          <w:p>
            <w:r/>
            <w:r>
              <w:rPr>
                <w:b/>
                <w:sz w:val="18"/>
              </w:rPr>
              <w:t>Комментарий</w:t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Получение технических условий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Инженерные изыскания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Проектирование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Согласования с владельцами сетей и дорог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Строительно-монтажные работы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Бестраншейная прокладка (ГНБ)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Испытания и исполнительная документация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Подключение к сетям, пуск газа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  <w:tr>
        <w:tc>
          <w:tcPr>
            <w:tcW w:type="dxa" w:w="4819"/>
          </w:tcPr>
          <w:p>
            <w:r/>
            <w:r>
              <w:rPr>
                <w:sz w:val="19"/>
              </w:rPr>
              <w:t>Сдача объекта</w:t>
            </w:r>
          </w:p>
        </w:tc>
        <w:tc>
          <w:tcPr>
            <w:tcW w:type="dxa" w:w="907"/>
          </w:tcPr>
          <w:p>
            <w:r/>
            <w:r>
              <w:rPr>
                <w:sz w:val="19"/>
              </w:rPr>
              <w:t>☐</w:t>
            </w:r>
          </w:p>
        </w:tc>
        <w:tc>
          <w:tcPr>
            <w:tcW w:type="dxa" w:w="3912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80" w:before="200"/>
      </w:pPr>
      <w:r>
        <w:rPr>
          <w:b/>
          <w:i w:val="0"/>
          <w:color w:val="08294B"/>
          <w:sz w:val="24"/>
        </w:rPr>
        <w:t>7. Дополнительно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color="B7C2CE"/>
          <w:left w:val="single" w:sz="4" w:color="B7C2CE"/>
          <w:bottom w:val="single" w:sz="4" w:color="B7C2CE"/>
          <w:right w:val="single" w:sz="4" w:color="B7C2CE"/>
          <w:insideH w:val="single" w:sz="4" w:color="B7C2CE"/>
          <w:insideV w:val="single" w:sz="4" w:color="B7C2CE"/>
        </w:tblBorders>
      </w:tblPr>
      <w:tblGrid>
        <w:gridCol w:w="4986"/>
        <w:gridCol w:w="4986"/>
      </w:tblGrid>
      <w:tr>
        <w:tc>
          <w:tcPr>
            <w:tcW w:type="dxa" w:w="3402"/>
          </w:tcPr>
          <w:p>
            <w:r/>
            <w:r>
              <w:rPr>
                <w:sz w:val="19"/>
              </w:rPr>
              <w:t>Что ещё важно знать</w:t>
            </w:r>
          </w:p>
        </w:tc>
        <w:tc>
          <w:tcPr>
            <w:tcW w:type="dxa" w:w="6236"/>
          </w:tcPr>
          <w:p>
            <w:r/>
            <w:r>
              <w:rPr>
                <w:sz w:val="19"/>
              </w:rPr>
            </w:r>
          </w:p>
        </w:tc>
      </w:tr>
    </w:tbl>
    <w:p>
      <w:pPr>
        <w:spacing w:after="40"/>
      </w:pPr>
    </w:p>
    <w:p>
      <w:pPr>
        <w:spacing w:after="40"/>
      </w:pPr>
      <w:r>
        <w:rPr>
          <w:b/>
          <w:i w:val="0"/>
          <w:sz w:val="20"/>
        </w:rPr>
        <w:t>Заполненную анкету вместе с карточкой предприятия отправьте на info@vps33.ru.</w:t>
      </w:r>
    </w:p>
    <w:p>
      <w:pPr>
        <w:spacing w:after="80"/>
      </w:pPr>
      <w:r>
        <w:rPr>
          <w:b w:val="0"/>
          <w:i w:val="0"/>
          <w:color w:val="5B6B7B"/>
          <w:sz w:val="17"/>
        </w:rPr>
        <w:t>ООО «ВПС» (Владимирские Профессиональные Системы) · ИНН 3329092402 · ОГРН 1173328016630 · +7 (4922) 77-32-04</w:t>
      </w:r>
    </w:p>
    <w:sectPr w:rsidR="00FC693F" w:rsidRPr="0006063C" w:rsidSect="00034616">
      <w:headerReference w:type="default" r:id="rId9"/>
      <w:headerReference w:type="first" r:id="rId10"/>
      <w:headerReference w:type="even" r:id="rId11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anchor distT="0" distB="0" distL="0" distR="0" simplePos="0" relativeHeight="0" behindDoc="1" locked="0" layoutInCell="1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6647688" cy="9235440"/>
          <wp:wrapNone/>
          <wp:docPr id="1" name="Picture 1"/>
          <wp:cNvGraphicFramePr xmlns:a="http://schemas.openxmlformats.org/drawingml/2006/main">
            <a:graphicFrameLocks noChangeAspect="1"/>
          </wp:cNvGraphicFramePr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waterma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7688" cy="923544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 на расчёт — ООО «ВПС»</dc:title>
  <dc:subject/>
  <dc:creator>ООО «ВПС»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